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13259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Times New Roman" w:eastAsia="方正小标宋简体" w:cs="Times New Roman"/>
          <w:snapToGrid/>
          <w:kern w:val="2"/>
          <w:sz w:val="44"/>
          <w:szCs w:val="44"/>
          <w:lang w:eastAsia="zh-CN"/>
        </w:rPr>
      </w:pPr>
      <w:r>
        <w:rPr>
          <w:rFonts w:hint="eastAsia" w:ascii="方正小标宋简体" w:hAnsi="Times New Roman" w:eastAsia="方正小标宋简体" w:cs="Times New Roman"/>
          <w:snapToGrid/>
          <w:kern w:val="2"/>
          <w:sz w:val="44"/>
          <w:szCs w:val="44"/>
          <w:lang w:eastAsia="zh-CN"/>
        </w:rPr>
        <w:t>关于举办福建师范大学协和学院</w:t>
      </w:r>
      <w:r>
        <w:rPr>
          <w:rFonts w:hint="eastAsia" w:ascii="方正小标宋简体" w:hAnsi="Times New Roman" w:eastAsia="方正小标宋简体" w:cs="Times New Roman"/>
          <w:snapToGrid/>
          <w:kern w:val="2"/>
          <w:sz w:val="44"/>
          <w:szCs w:val="44"/>
          <w:lang w:eastAsia="zh-CN"/>
        </w:rPr>
        <w:t>第一届数字人力资源管理技能竞赛</w:t>
      </w:r>
      <w:r>
        <w:rPr>
          <w:rFonts w:hint="eastAsia" w:ascii="方正小标宋简体" w:hAnsi="Times New Roman" w:eastAsia="方正小标宋简体" w:cs="Times New Roman"/>
          <w:snapToGrid/>
          <w:kern w:val="2"/>
          <w:sz w:val="44"/>
          <w:szCs w:val="44"/>
          <w:lang w:eastAsia="zh-CN"/>
        </w:rPr>
        <w:t>院级选拔赛的通知</w:t>
      </w:r>
    </w:p>
    <w:p w14:paraId="57219279">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0"/>
        <w:jc w:val="left"/>
        <w:textAlignment w:val="baseline"/>
        <w:rPr>
          <w:rFonts w:hint="eastAsia" w:ascii="仿宋_GB2312" w:hAnsi="仿宋_GB2312" w:eastAsia="仿宋_GB2312" w:cs="仿宋_GB2312"/>
          <w:spacing w:val="14"/>
          <w:sz w:val="32"/>
          <w:szCs w:val="32"/>
          <w:lang w:val="en-US" w:eastAsia="zh-CN"/>
        </w:rPr>
      </w:pPr>
    </w:p>
    <w:p w14:paraId="085C54D3">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各系、国际教育学院：</w:t>
      </w:r>
    </w:p>
    <w:p w14:paraId="37F4010C">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数字人力资源管理技能竞赛为一带一路暨金砖国家技能发展与技术创新大赛赛项之一，至今已举办四届。为提升学生在大数据、智能化背景下人力资源管理实践能力与决策能力，经研究，决定举办我院2026年第一届数字人力资源管理技能竞赛院级选拔赛。现将有关事项通知如下：</w:t>
      </w:r>
    </w:p>
    <w:p w14:paraId="50174E9C">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firstLine="663" w:firstLineChars="200"/>
        <w:textAlignment w:val="baseline"/>
        <w:outlineLvl w:val="9"/>
        <w:rPr>
          <w:rFonts w:hint="eastAsia" w:ascii="黑体" w:hAnsi="黑体" w:eastAsia="黑体" w:cs="黑体"/>
          <w:sz w:val="32"/>
          <w:szCs w:val="32"/>
        </w:rPr>
      </w:pPr>
      <w:r>
        <w:rPr>
          <w:rFonts w:hint="eastAsia" w:ascii="黑体" w:hAnsi="黑体" w:eastAsia="黑体" w:cs="黑体"/>
          <w:b/>
          <w:bCs/>
          <w:spacing w:val="5"/>
          <w:sz w:val="32"/>
          <w:szCs w:val="32"/>
        </w:rPr>
        <w:t>一、组织机构</w:t>
      </w:r>
    </w:p>
    <w:p w14:paraId="55199041">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主办：福建师范大学协和学院创新创业学院</w:t>
      </w:r>
    </w:p>
    <w:p w14:paraId="272D8B45">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承办：福建师范大学协和学院管理学系</w:t>
      </w:r>
    </w:p>
    <w:p w14:paraId="7A4B8902">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firstLine="663" w:firstLineChars="200"/>
        <w:textAlignment w:val="baseline"/>
        <w:outlineLvl w:val="9"/>
        <w:rPr>
          <w:rFonts w:hint="eastAsia" w:ascii="黑体" w:hAnsi="黑体" w:eastAsia="黑体" w:cs="黑体"/>
          <w:b/>
          <w:bCs/>
          <w:spacing w:val="5"/>
          <w:sz w:val="32"/>
          <w:szCs w:val="32"/>
        </w:rPr>
      </w:pPr>
      <w:r>
        <w:rPr>
          <w:rFonts w:hint="eastAsia" w:ascii="黑体" w:hAnsi="黑体" w:eastAsia="黑体" w:cs="黑体"/>
          <w:b/>
          <w:bCs/>
          <w:spacing w:val="5"/>
          <w:sz w:val="32"/>
          <w:szCs w:val="32"/>
        </w:rPr>
        <w:t>二、参赛对象</w:t>
      </w:r>
    </w:p>
    <w:p w14:paraId="55758600">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协和学院全体在校生</w:t>
      </w:r>
    </w:p>
    <w:p w14:paraId="0452A9D0">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firstLine="663" w:firstLineChars="200"/>
        <w:textAlignment w:val="baseline"/>
        <w:outlineLvl w:val="9"/>
        <w:rPr>
          <w:rFonts w:hint="eastAsia" w:ascii="黑体" w:hAnsi="黑体" w:eastAsia="黑体" w:cs="黑体"/>
          <w:b/>
          <w:bCs/>
          <w:spacing w:val="5"/>
          <w:sz w:val="32"/>
          <w:szCs w:val="32"/>
        </w:rPr>
      </w:pPr>
      <w:r>
        <w:rPr>
          <w:rFonts w:hint="eastAsia" w:ascii="黑体" w:hAnsi="黑体" w:eastAsia="黑体" w:cs="黑体"/>
          <w:b/>
          <w:bCs/>
          <w:spacing w:val="5"/>
          <w:sz w:val="32"/>
          <w:szCs w:val="32"/>
        </w:rPr>
        <w:t>三、赛事简介</w:t>
      </w:r>
    </w:p>
    <w:p w14:paraId="4192904B">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（一）参赛平台</w:t>
      </w:r>
    </w:p>
    <w:p w14:paraId="6AA3E0D7">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参赛团队使用“踏瑞人力资源大数据分析与经营决策云平台”作为竞赛平台。</w:t>
      </w:r>
    </w:p>
    <w:p w14:paraId="6B0D8859">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（二）参赛内容</w:t>
      </w:r>
    </w:p>
    <w:p w14:paraId="42F3E67E">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每个参赛团队代表一个虚拟企业，在给定的商业环境中进行四期模拟决策、对抗竞争。具体内容如下：</w:t>
      </w:r>
    </w:p>
    <w:p w14:paraId="088B88BE">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600" w:lineRule="exact"/>
        <w:ind w:left="0" w:leftChars="0" w:right="0" w:rightChars="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napToGrid w:val="0"/>
          <w:color w:val="000000"/>
          <w:spacing w:val="14"/>
          <w:kern w:val="0"/>
          <w:sz w:val="32"/>
          <w:szCs w:val="32"/>
          <w:lang w:val="en-US" w:eastAsia="zh-CN" w:bidi="ar-SA"/>
        </w:rPr>
        <w:t>1.</w:t>
      </w:r>
      <w:r>
        <w:rPr>
          <w:rFonts w:hint="eastAsia" w:ascii="仿宋_GB2312" w:hAnsi="仿宋_GB2312" w:eastAsia="仿宋_GB2312" w:cs="仿宋_GB2312"/>
          <w:spacing w:val="14"/>
          <w:sz w:val="32"/>
          <w:szCs w:val="32"/>
          <w:lang w:val="en-US" w:eastAsia="zh-CN"/>
        </w:rPr>
        <w:t>大数据分析（第0期）：明确分析目标、数据获取、数据清洗、可视化分析、制作故事板、制定人力资源决策</w:t>
      </w:r>
      <w:bookmarkStart w:id="0" w:name="_GoBack"/>
      <w:bookmarkEnd w:id="0"/>
    </w:p>
    <w:p w14:paraId="5CCF8C95">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600" w:lineRule="exact"/>
        <w:ind w:left="0" w:leftChars="0" w:right="0" w:rightChars="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napToGrid w:val="0"/>
          <w:color w:val="000000"/>
          <w:spacing w:val="14"/>
          <w:kern w:val="0"/>
          <w:sz w:val="32"/>
          <w:szCs w:val="32"/>
          <w:lang w:val="en-US" w:eastAsia="zh-CN" w:bidi="ar-SA"/>
        </w:rPr>
        <w:t>2.</w:t>
      </w:r>
      <w:r>
        <w:rPr>
          <w:rFonts w:hint="eastAsia" w:ascii="仿宋_GB2312" w:hAnsi="仿宋_GB2312" w:eastAsia="仿宋_GB2312" w:cs="仿宋_GB2312"/>
          <w:spacing w:val="14"/>
          <w:sz w:val="32"/>
          <w:szCs w:val="32"/>
          <w:lang w:val="en-US" w:eastAsia="zh-CN"/>
        </w:rPr>
        <w:t>经营决策（第1-3期）：调整发展路线、分析动态市场、使用特色卡牌、制定人员招聘计划、调整薪酬结构、设置人员培训课程等。</w:t>
      </w:r>
    </w:p>
    <w:p w14:paraId="55B01797">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firstLine="663" w:firstLineChars="200"/>
        <w:textAlignment w:val="baseline"/>
        <w:outlineLvl w:val="9"/>
        <w:rPr>
          <w:rFonts w:hint="eastAsia" w:ascii="黑体" w:hAnsi="黑体" w:eastAsia="黑体" w:cs="黑体"/>
          <w:b/>
          <w:bCs/>
          <w:spacing w:val="5"/>
          <w:sz w:val="32"/>
          <w:szCs w:val="32"/>
        </w:rPr>
      </w:pPr>
      <w:r>
        <w:rPr>
          <w:rFonts w:hint="eastAsia" w:ascii="黑体" w:hAnsi="黑体" w:eastAsia="黑体" w:cs="黑体"/>
          <w:b/>
          <w:bCs/>
          <w:spacing w:val="5"/>
          <w:sz w:val="32"/>
          <w:szCs w:val="32"/>
        </w:rPr>
        <w:t>四、参赛要求</w:t>
      </w:r>
    </w:p>
    <w:p w14:paraId="3AC6BCF1">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（一）参赛选手应具备人力资源管理相关课程学习基础，熟悉基本的人力资源实务操作，具备一定的数据分析意识与团队协作能力。</w:t>
      </w:r>
    </w:p>
    <w:p w14:paraId="3BE36BAF">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（二）大赛以团体形式参赛，每支团队由3名队员组成，每名参赛选手只限参加一支团队。一经报名，团队不得换人、不得增人(特殊情况可以减少参赛团队成员)。</w:t>
      </w:r>
    </w:p>
    <w:p w14:paraId="390BF3CA">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pPr>
      <w:r>
        <w:rPr>
          <w:rFonts w:hint="eastAsia" w:ascii="仿宋_GB2312" w:hAnsi="仿宋_GB2312" w:eastAsia="仿宋_GB2312" w:cs="仿宋_GB2312"/>
          <w:spacing w:val="14"/>
          <w:sz w:val="32"/>
          <w:szCs w:val="32"/>
          <w:lang w:val="en-US" w:eastAsia="zh-CN"/>
        </w:rPr>
        <w:t>（三）参赛团队根据各自特点确定团队名称，团队名称须积极向上体现正能量。</w:t>
      </w:r>
    </w:p>
    <w:p w14:paraId="3802DB48">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firstLine="663" w:firstLineChars="200"/>
        <w:textAlignment w:val="baseline"/>
        <w:outlineLvl w:val="9"/>
        <w:rPr>
          <w:rFonts w:hint="eastAsia" w:ascii="黑体" w:hAnsi="黑体" w:eastAsia="黑体" w:cs="黑体"/>
          <w:b/>
          <w:bCs/>
          <w:spacing w:val="5"/>
          <w:sz w:val="32"/>
          <w:szCs w:val="32"/>
        </w:rPr>
      </w:pPr>
      <w:r>
        <w:rPr>
          <w:rFonts w:hint="eastAsia" w:ascii="黑体" w:hAnsi="黑体" w:eastAsia="黑体" w:cs="黑体"/>
          <w:b/>
          <w:bCs/>
          <w:spacing w:val="5"/>
          <w:sz w:val="32"/>
          <w:szCs w:val="32"/>
        </w:rPr>
        <w:t>五、赛事安排</w:t>
      </w:r>
    </w:p>
    <w:p w14:paraId="348CA614">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（一）报名时间</w:t>
      </w:r>
    </w:p>
    <w:p w14:paraId="1073A2CF">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截止2026年7月1日晚上8:00</w:t>
      </w:r>
    </w:p>
    <w:p w14:paraId="6EC68140">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（二）报名方式</w:t>
      </w:r>
    </w:p>
    <w:p w14:paraId="22229F91">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各参赛团队队长用微信扫描二维码报名，逾期报名无效。报名成功的团队将分配到团队账号开展练习。</w:t>
      </w:r>
    </w:p>
    <w:p w14:paraId="52FA6391">
      <w:pPr>
        <w:spacing w:line="2201" w:lineRule="exact"/>
        <w:ind w:firstLine="2670"/>
      </w:pPr>
      <w:r>
        <w:rPr>
          <w:position w:val="-44"/>
        </w:rPr>
        <w:drawing>
          <wp:inline distT="0" distB="0" distL="0" distR="0">
            <wp:extent cx="1808480" cy="139700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7"/>
                    <a:stretch>
                      <a:fillRect/>
                    </a:stretch>
                  </pic:blipFill>
                  <pic:spPr>
                    <a:xfrm>
                      <a:off x="0" y="0"/>
                      <a:ext cx="1808987" cy="1397508"/>
                    </a:xfrm>
                    <a:prstGeom prst="rect">
                      <a:avLst/>
                    </a:prstGeom>
                  </pic:spPr>
                </pic:pic>
              </a:graphicData>
            </a:graphic>
          </wp:inline>
        </w:drawing>
      </w:r>
    </w:p>
    <w:p w14:paraId="38814B06">
      <w:pPr>
        <w:pStyle w:val="2"/>
        <w:spacing w:before="195" w:line="222" w:lineRule="auto"/>
        <w:ind w:left="1963"/>
        <w:rPr>
          <w:sz w:val="28"/>
          <w:szCs w:val="28"/>
        </w:rPr>
      </w:pPr>
      <w:r>
        <w:rPr>
          <w:b/>
          <w:bCs/>
          <w:spacing w:val="-7"/>
          <w:sz w:val="28"/>
          <w:szCs w:val="28"/>
        </w:rPr>
        <w:t>数字人力资源管理技能院赛报名表</w:t>
      </w:r>
    </w:p>
    <w:p w14:paraId="1C9EB2DE">
      <w:pPr>
        <w:spacing w:line="222" w:lineRule="auto"/>
        <w:rPr>
          <w:sz w:val="28"/>
          <w:szCs w:val="28"/>
        </w:rPr>
        <w:sectPr>
          <w:footerReference r:id="rId5" w:type="default"/>
          <w:pgSz w:w="11907" w:h="16840"/>
          <w:pgMar w:top="1413" w:right="1651" w:bottom="0" w:left="1786" w:header="0" w:footer="283" w:gutter="0"/>
          <w:pgNumType w:fmt="numberInDash"/>
          <w:cols w:space="720" w:num="1"/>
        </w:sectPr>
      </w:pPr>
    </w:p>
    <w:p w14:paraId="0F39D41C">
      <w:pPr>
        <w:spacing w:before="6" w:line="4106" w:lineRule="exact"/>
        <w:ind w:firstLine="2250"/>
      </w:pPr>
      <w:r>
        <w:rPr>
          <w:position w:val="-82"/>
        </w:rPr>
        <w:drawing>
          <wp:inline distT="0" distB="0" distL="0" distR="0">
            <wp:extent cx="2322195" cy="260731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8"/>
                    <a:stretch>
                      <a:fillRect/>
                    </a:stretch>
                  </pic:blipFill>
                  <pic:spPr>
                    <a:xfrm>
                      <a:off x="0" y="0"/>
                      <a:ext cx="2322576" cy="2607564"/>
                    </a:xfrm>
                    <a:prstGeom prst="rect">
                      <a:avLst/>
                    </a:prstGeom>
                  </pic:spPr>
                </pic:pic>
              </a:graphicData>
            </a:graphic>
          </wp:inline>
        </w:drawing>
      </w:r>
    </w:p>
    <w:p w14:paraId="18ED0423">
      <w:pPr>
        <w:pStyle w:val="2"/>
        <w:spacing w:before="40" w:line="222" w:lineRule="auto"/>
        <w:ind w:left="2107"/>
        <w:rPr>
          <w:sz w:val="28"/>
          <w:szCs w:val="28"/>
        </w:rPr>
      </w:pPr>
      <w:r>
        <w:rPr>
          <w:b/>
          <w:bCs/>
          <w:spacing w:val="-7"/>
          <w:sz w:val="28"/>
          <w:szCs w:val="28"/>
        </w:rPr>
        <w:t>数字人力资源管理技能院赛交流群</w:t>
      </w:r>
    </w:p>
    <w:p w14:paraId="4DE9146F">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（三）练习赛时间（线上）</w:t>
      </w:r>
    </w:p>
    <w:p w14:paraId="6337FBD9">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练习时间：6月24日至7月7日</w:t>
      </w:r>
    </w:p>
    <w:p w14:paraId="251B83F2">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注意：练习账号将在“院赛交流群”里发布，练习时间有限，请参赛团队认真对待每一次练习赛。</w:t>
      </w:r>
    </w:p>
    <w:p w14:paraId="481EC302">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（四）决赛时间</w:t>
      </w:r>
    </w:p>
    <w:p w14:paraId="346E363F">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ascii="Arial"/>
          <w:sz w:val="21"/>
        </w:rPr>
      </w:pPr>
      <w:r>
        <w:rPr>
          <w:rFonts w:hint="eastAsia" w:ascii="仿宋_GB2312" w:hAnsi="仿宋_GB2312" w:eastAsia="仿宋_GB2312" w:cs="仿宋_GB2312"/>
          <w:spacing w:val="14"/>
          <w:sz w:val="32"/>
          <w:szCs w:val="32"/>
          <w:lang w:val="en-US" w:eastAsia="zh-CN"/>
        </w:rPr>
        <w:t>决赛时间：2026年7月9日（暂定）</w:t>
      </w:r>
    </w:p>
    <w:p w14:paraId="3F61F807">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firstLine="663" w:firstLineChars="200"/>
        <w:textAlignment w:val="baseline"/>
        <w:outlineLvl w:val="9"/>
        <w:rPr>
          <w:rFonts w:hint="eastAsia" w:ascii="黑体" w:hAnsi="黑体" w:eastAsia="黑体" w:cs="黑体"/>
          <w:b/>
          <w:bCs/>
          <w:spacing w:val="5"/>
          <w:sz w:val="32"/>
          <w:szCs w:val="32"/>
        </w:rPr>
      </w:pPr>
      <w:r>
        <w:rPr>
          <w:rFonts w:hint="eastAsia" w:ascii="黑体" w:hAnsi="黑体" w:eastAsia="黑体" w:cs="黑体"/>
          <w:b/>
          <w:bCs/>
          <w:spacing w:val="5"/>
          <w:sz w:val="32"/>
          <w:szCs w:val="32"/>
        </w:rPr>
        <w:t>五、赛事评定规则</w:t>
      </w:r>
    </w:p>
    <w:p w14:paraId="1767BB20">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该赛事决赛评分规则以及奖项设置规则如下：</w:t>
      </w:r>
    </w:p>
    <w:p w14:paraId="03037ECE">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1.评分规则：平台根据各企业在多个方面的经营业绩评定综合成绩，最终成绩=第零期案例得分*20%+（第一期得分20%*+第二期得分*25%+第三期得分*35%），比赛结果按最终成绩由高至低进行排名。</w:t>
      </w:r>
    </w:p>
    <w:p w14:paraId="546A651B">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600" w:lineRule="exact"/>
        <w:ind w:left="0" w:leftChars="0" w:right="0" w:rightChars="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napToGrid w:val="0"/>
          <w:color w:val="000000"/>
          <w:spacing w:val="14"/>
          <w:kern w:val="0"/>
          <w:sz w:val="32"/>
          <w:szCs w:val="32"/>
          <w:lang w:val="en-US" w:eastAsia="zh-CN" w:bidi="ar-SA"/>
        </w:rPr>
        <w:t>2.</w:t>
      </w:r>
      <w:r>
        <w:rPr>
          <w:rFonts w:hint="eastAsia" w:ascii="仿宋_GB2312" w:hAnsi="仿宋_GB2312" w:eastAsia="仿宋_GB2312" w:cs="仿宋_GB2312"/>
          <w:spacing w:val="14"/>
          <w:sz w:val="32"/>
          <w:szCs w:val="32"/>
          <w:lang w:val="en-US" w:eastAsia="zh-CN"/>
        </w:rPr>
        <w:t>奖项设置：根据实际参赛队伍总数，按比例设置一、二、三等奖奖项，获奖队伍均领发获奖证书。奖项设置比例如下:</w:t>
      </w:r>
    </w:p>
    <w:p w14:paraId="75A420C0">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600" w:lineRule="exact"/>
        <w:ind w:left="0" w:leftChars="0" w:right="0" w:rightChars="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一等奖数量不超过参赛队伍总数的5%;</w:t>
      </w:r>
    </w:p>
    <w:p w14:paraId="3BEAF2F1">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二等奖数量不超过参赛队伍总数的15%;</w:t>
      </w:r>
    </w:p>
    <w:p w14:paraId="0C02F071">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三等奖数量不超过参赛队伍总数的20%;</w:t>
      </w:r>
    </w:p>
    <w:p w14:paraId="6C2EF864">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pPr>
      <w:r>
        <w:rPr>
          <w:rFonts w:hint="eastAsia" w:ascii="仿宋_GB2312" w:hAnsi="仿宋_GB2312" w:eastAsia="仿宋_GB2312" w:cs="仿宋_GB2312"/>
          <w:spacing w:val="14"/>
          <w:sz w:val="32"/>
          <w:szCs w:val="32"/>
          <w:lang w:val="en-US" w:eastAsia="zh-CN"/>
        </w:rPr>
        <w:t>另设最佳组织奖1项。</w:t>
      </w:r>
    </w:p>
    <w:p w14:paraId="6B6BE9EC">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3.晋级规则：成绩排名第一名、第二名的队伍将有机会代表学院参加2026一带一路暨金砖国家技能发展与技术创新大赛之第五届数字人力资源管理技能赛项区域选拔赛。</w:t>
      </w:r>
    </w:p>
    <w:p w14:paraId="39578D78">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该比赛所颁发的奖状、规则和活动最终解释权归主办单位。选手一经报名，即视为同意遵循本活动的所有规则及解释。</w:t>
      </w:r>
    </w:p>
    <w:p w14:paraId="66B49055">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firstLine="663" w:firstLineChars="200"/>
        <w:textAlignment w:val="baseline"/>
        <w:outlineLvl w:val="9"/>
        <w:rPr>
          <w:rFonts w:hint="eastAsia" w:ascii="黑体" w:hAnsi="黑体" w:eastAsia="黑体" w:cs="黑体"/>
          <w:b/>
          <w:bCs/>
          <w:spacing w:val="5"/>
          <w:sz w:val="32"/>
          <w:szCs w:val="32"/>
        </w:rPr>
      </w:pPr>
      <w:r>
        <w:rPr>
          <w:rFonts w:hint="eastAsia" w:ascii="黑体" w:hAnsi="黑体" w:eastAsia="黑体" w:cs="黑体"/>
          <w:b/>
          <w:bCs/>
          <w:spacing w:val="5"/>
          <w:sz w:val="32"/>
          <w:szCs w:val="32"/>
        </w:rPr>
        <w:t>六、赛事联系方式</w:t>
      </w:r>
    </w:p>
    <w:p w14:paraId="06A0189F">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赛事联络人：赵可佳；联系电话：15680590657</w:t>
      </w:r>
    </w:p>
    <w:p w14:paraId="7C401E72">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96" w:firstLineChars="200"/>
        <w:jc w:val="left"/>
        <w:textAlignment w:val="baseline"/>
        <w:rPr>
          <w:rFonts w:hint="eastAsia" w:ascii="仿宋_GB2312" w:hAnsi="仿宋_GB2312" w:eastAsia="仿宋_GB2312" w:cs="仿宋_GB2312"/>
          <w:spacing w:val="14"/>
          <w:sz w:val="32"/>
          <w:szCs w:val="32"/>
          <w:lang w:val="en-US" w:eastAsia="zh-CN"/>
        </w:rPr>
      </w:pPr>
      <w:r>
        <w:rPr>
          <w:rFonts w:hint="eastAsia" w:ascii="仿宋_GB2312" w:hAnsi="仿宋_GB2312" w:eastAsia="仿宋_GB2312" w:cs="仿宋_GB2312"/>
          <w:spacing w:val="14"/>
          <w:sz w:val="32"/>
          <w:szCs w:val="32"/>
          <w:lang w:val="en-US" w:eastAsia="zh-CN"/>
        </w:rPr>
        <w:t>赛事联络老师：陈娜；联系电话：13515967263</w:t>
      </w:r>
    </w:p>
    <w:p w14:paraId="4CDEDE39">
      <w:pPr>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ind w:left="0" w:right="0"/>
        <w:jc w:val="left"/>
        <w:textAlignment w:val="auto"/>
        <w:rPr>
          <w:rFonts w:hint="eastAsia" w:ascii="仿宋_GB2312" w:hAnsi="仿宋" w:eastAsia="仿宋_GB2312" w:cs="仿宋"/>
          <w:kern w:val="0"/>
          <w:sz w:val="32"/>
          <w:szCs w:val="32"/>
          <w:shd w:val="clear" w:color="auto" w:fill="FFFFFF"/>
          <w:lang w:val="en-US" w:eastAsia="zh-CN" w:bidi="ar-SA"/>
        </w:rPr>
      </w:pPr>
    </w:p>
    <w:p w14:paraId="3D88B4F5">
      <w:pPr>
        <w:keepNext w:val="0"/>
        <w:keepLines w:val="0"/>
        <w:pageBreakBefore w:val="0"/>
        <w:widowControl/>
        <w:shd w:val="clear" w:color="auto" w:fill="FFFFFF"/>
        <w:tabs>
          <w:tab w:val="left" w:pos="4962"/>
        </w:tabs>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 w:eastAsia="仿宋_GB2312" w:cs="仿宋"/>
          <w:kern w:val="0"/>
          <w:sz w:val="32"/>
          <w:szCs w:val="32"/>
          <w:shd w:val="clear" w:color="auto" w:fill="FFFFFF"/>
          <w:lang w:val="en-US" w:eastAsia="zh-CN" w:bidi="ar-SA"/>
        </w:rPr>
      </w:pPr>
    </w:p>
    <w:p w14:paraId="2DBC931A">
      <w:pPr>
        <w:keepNext w:val="0"/>
        <w:keepLines w:val="0"/>
        <w:pageBreakBefore w:val="0"/>
        <w:widowControl/>
        <w:shd w:val="clear" w:color="auto" w:fill="FFFFFF"/>
        <w:tabs>
          <w:tab w:val="left" w:pos="4962"/>
        </w:tabs>
        <w:kinsoku/>
        <w:wordWrap/>
        <w:overflowPunct/>
        <w:topLinePunct w:val="0"/>
        <w:autoSpaceDE/>
        <w:autoSpaceDN/>
        <w:bidi w:val="0"/>
        <w:adjustRightInd/>
        <w:snapToGrid/>
        <w:spacing w:before="0" w:beforeAutospacing="0" w:after="0" w:afterAutospacing="0" w:line="600" w:lineRule="exact"/>
        <w:ind w:left="0" w:right="0"/>
        <w:jc w:val="right"/>
        <w:textAlignment w:val="auto"/>
        <w:rPr>
          <w:rFonts w:hint="default" w:ascii="仿宋_GB2312" w:hAnsi="仿宋" w:eastAsia="仿宋_GB2312" w:cs="仿宋"/>
          <w:kern w:val="0"/>
          <w:sz w:val="32"/>
          <w:szCs w:val="32"/>
          <w:shd w:val="clear" w:color="auto" w:fill="FFFFFF"/>
          <w:lang w:val="en-US" w:eastAsia="zh-CN" w:bidi="ar-SA"/>
        </w:rPr>
      </w:pPr>
      <w:r>
        <w:rPr>
          <w:rFonts w:hint="eastAsia" w:ascii="仿宋_GB2312" w:hAnsi="仿宋" w:eastAsia="仿宋_GB2312" w:cs="仿宋"/>
          <w:kern w:val="0"/>
          <w:sz w:val="32"/>
          <w:szCs w:val="32"/>
          <w:shd w:val="clear" w:color="auto" w:fill="FFFFFF"/>
          <w:lang w:val="en-US" w:eastAsia="zh-CN" w:bidi="ar-SA"/>
        </w:rPr>
        <w:t>福建师范大学协和学院创新创业学院</w:t>
      </w:r>
    </w:p>
    <w:p w14:paraId="7F2B5A76">
      <w:pPr>
        <w:keepNext w:val="0"/>
        <w:keepLines w:val="0"/>
        <w:pageBreakBefore w:val="0"/>
        <w:widowControl/>
        <w:shd w:val="clear" w:color="auto" w:fill="FFFFFF"/>
        <w:tabs>
          <w:tab w:val="left" w:pos="4962"/>
        </w:tabs>
        <w:kinsoku/>
        <w:wordWrap w:val="0"/>
        <w:overflowPunct/>
        <w:topLinePunct w:val="0"/>
        <w:autoSpaceDE/>
        <w:autoSpaceDN/>
        <w:bidi w:val="0"/>
        <w:adjustRightInd/>
        <w:snapToGrid/>
        <w:spacing w:before="0" w:beforeAutospacing="0" w:after="0" w:afterAutospacing="0" w:line="600" w:lineRule="exact"/>
        <w:ind w:left="0" w:right="0"/>
        <w:jc w:val="right"/>
        <w:textAlignment w:val="auto"/>
        <w:rPr>
          <w:rFonts w:hint="eastAsia" w:ascii="仿宋_GB2312" w:hAnsi="仿宋_GB2312" w:eastAsia="仿宋_GB2312" w:cs="仿宋_GB2312"/>
          <w:spacing w:val="14"/>
          <w:sz w:val="32"/>
          <w:szCs w:val="32"/>
          <w:lang w:val="en-US" w:eastAsia="zh-CN"/>
        </w:rPr>
      </w:pPr>
      <w:r>
        <w:rPr>
          <w:rFonts w:hint="eastAsia" w:ascii="仿宋_GB2312" w:hAnsi="仿宋" w:eastAsia="仿宋_GB2312" w:cs="仿宋"/>
          <w:kern w:val="0"/>
          <w:sz w:val="32"/>
          <w:szCs w:val="32"/>
          <w:shd w:val="clear" w:color="auto" w:fill="FFFFFF"/>
          <w:lang w:val="en-US" w:eastAsia="zh-CN" w:bidi="ar-SA"/>
        </w:rPr>
        <w:t xml:space="preserve">2026年6月24日      </w:t>
      </w:r>
    </w:p>
    <w:sectPr>
      <w:pgSz w:w="11907" w:h="16840"/>
      <w:pgMar w:top="1413" w:right="1786" w:bottom="0" w:left="1786" w:header="0" w:footer="283" w:gutter="0"/>
      <w:pgNumType w:fmt="numberInDash"/>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B463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02D0049">
                          <w:pPr>
                            <w:pStyle w:val="3"/>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02D0049">
                    <w:pPr>
                      <w:pStyle w:val="3"/>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70E13CD"/>
    <w:rsid w:val="263C5DD3"/>
    <w:rsid w:val="730B2E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0"/>
      <w:szCs w:val="30"/>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100" w:beforeAutospacing="1" w:after="100" w:afterAutospacing="1"/>
      <w:ind w:left="0" w:right="0"/>
      <w:jc w:val="left"/>
    </w:pPr>
    <w:rPr>
      <w:kern w:val="0"/>
      <w:sz w:val="24"/>
      <w:lang w:val="en-US" w:eastAsia="zh-CN" w:bidi="ar"/>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1178</Words>
  <Characters>1244</Characters>
  <TotalTime>2</TotalTime>
  <ScaleCrop>false</ScaleCrop>
  <LinksUpToDate>false</LinksUpToDate>
  <CharactersWithSpaces>1278</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2026-06-24T08:14:00Z</dcterms:created>
  <dc:creator>Lenovo</dc:creator>
  <cp:lastModifiedBy>菄菄</cp:lastModifiedBy>
  <dcterms:modified xsi:type="dcterms:W3CDTF">2026-06-24T00:44:24Z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2026-06-24T08:30:15Z</vt:filetime>
  </property>
  <property fmtid="{D5CDD505-2E9C-101B-9397-08002B2CF9AE}" pid="4" name="KSOTemplateDocerSaveRecord">
    <vt:lpwstr>eyJoZGlkIjoiNzExNGRjYWNkMTdlYmIyMDkzNzNhN2YxNmE4ZTI1MzQiLCJ1c2VySWQiOiIxMTk4MjM5OTIxIn0=</vt:lpwstr>
  </property>
  <property fmtid="{D5CDD505-2E9C-101B-9397-08002B2CF9AE}" pid="5" name="KSOProductBuildVer">
    <vt:lpwstr>2052-12.1.0.26895</vt:lpwstr>
  </property>
  <property fmtid="{D5CDD505-2E9C-101B-9397-08002B2CF9AE}" pid="6" name="ICV">
    <vt:lpwstr>17EC83BB3A734F1CA4C497569EB17750_13</vt:lpwstr>
  </property>
</Properties>
</file>